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CE0511B"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w:t>
      </w:r>
      <w:r w:rsidR="00EA08BF">
        <w:rPr>
          <w:bCs/>
          <w:noProof w:val="0"/>
          <w:sz w:val="24"/>
          <w:szCs w:val="24"/>
        </w:rPr>
        <w:t>3</w:t>
      </w:r>
      <w:r w:rsidRPr="003A41EF">
        <w:rPr>
          <w:bCs/>
          <w:noProof w:val="0"/>
          <w:sz w:val="24"/>
          <w:szCs w:val="24"/>
        </w:rPr>
        <w:t xml:space="preserve"> Meeting </w:t>
      </w:r>
      <w:r w:rsidR="00F941DF">
        <w:rPr>
          <w:bCs/>
          <w:noProof w:val="0"/>
          <w:sz w:val="24"/>
          <w:szCs w:val="24"/>
        </w:rPr>
        <w:t>#</w:t>
      </w:r>
      <w:r w:rsidR="007C2DD0">
        <w:rPr>
          <w:bCs/>
          <w:noProof w:val="0"/>
          <w:sz w:val="24"/>
          <w:szCs w:val="24"/>
        </w:rPr>
        <w:t>10</w:t>
      </w:r>
      <w:r w:rsidR="007152B8">
        <w:rPr>
          <w:bCs/>
          <w:noProof w:val="0"/>
          <w:sz w:val="24"/>
          <w:szCs w:val="24"/>
        </w:rPr>
        <w:t>3</w:t>
      </w:r>
      <w:r w:rsidR="00CD4C7B" w:rsidRPr="00B266B0">
        <w:rPr>
          <w:bCs/>
          <w:noProof w:val="0"/>
          <w:sz w:val="24"/>
          <w:szCs w:val="24"/>
        </w:rPr>
        <w:tab/>
      </w:r>
      <w:r w:rsidR="00CD4C7B" w:rsidRPr="00B266B0">
        <w:rPr>
          <w:rFonts w:hint="eastAsia"/>
          <w:bCs/>
          <w:noProof w:val="0"/>
          <w:sz w:val="24"/>
          <w:szCs w:val="24"/>
        </w:rPr>
        <w:t>R</w:t>
      </w:r>
      <w:r w:rsidR="00EA08BF">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7152B8">
        <w:rPr>
          <w:bCs/>
          <w:noProof w:val="0"/>
          <w:sz w:val="24"/>
          <w:szCs w:val="24"/>
        </w:rPr>
        <w:t>9</w:t>
      </w:r>
      <w:r w:rsidR="00B469BB">
        <w:rPr>
          <w:bCs/>
          <w:noProof w:val="0"/>
          <w:sz w:val="24"/>
          <w:szCs w:val="24"/>
        </w:rPr>
        <w:t>0155</w:t>
      </w:r>
    </w:p>
    <w:p w14:paraId="231362B2" w14:textId="31988467" w:rsidR="00CD4C7B" w:rsidRPr="00B266B0" w:rsidRDefault="007152B8" w:rsidP="00CD4C7B">
      <w:pPr>
        <w:pStyle w:val="Header"/>
        <w:tabs>
          <w:tab w:val="right" w:pos="9639"/>
        </w:tabs>
        <w:rPr>
          <w:bCs/>
          <w:noProof w:val="0"/>
          <w:sz w:val="24"/>
          <w:szCs w:val="24"/>
        </w:rPr>
      </w:pPr>
      <w:r>
        <w:rPr>
          <w:rFonts w:eastAsia="SimSun"/>
          <w:noProof w:val="0"/>
          <w:sz w:val="24"/>
          <w:szCs w:val="24"/>
          <w:lang w:eastAsia="zh-CN"/>
        </w:rPr>
        <w:t>Athens, Greece, EU</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5 Feb</w:t>
      </w:r>
      <w:r w:rsidR="008F396F" w:rsidRPr="008F396F">
        <w:rPr>
          <w:rFonts w:eastAsia="SimSun"/>
          <w:noProof w:val="0"/>
          <w:sz w:val="24"/>
          <w:szCs w:val="24"/>
          <w:lang w:eastAsia="zh-CN"/>
        </w:rPr>
        <w:t xml:space="preserve"> </w:t>
      </w:r>
      <w:r>
        <w:rPr>
          <w:rFonts w:eastAsia="SimSun"/>
          <w:noProof w:val="0"/>
          <w:sz w:val="24"/>
          <w:szCs w:val="24"/>
          <w:lang w:eastAsia="zh-CN"/>
        </w:rPr>
        <w:t>–</w:t>
      </w:r>
      <w:r w:rsidR="008F396F" w:rsidRPr="008F396F">
        <w:rPr>
          <w:rFonts w:eastAsia="SimSun"/>
          <w:noProof w:val="0"/>
          <w:sz w:val="24"/>
          <w:szCs w:val="24"/>
          <w:lang w:eastAsia="zh-CN"/>
        </w:rPr>
        <w:t xml:space="preserve"> </w:t>
      </w:r>
      <w:r>
        <w:rPr>
          <w:rFonts w:eastAsia="SimSun"/>
          <w:noProof w:val="0"/>
          <w:sz w:val="24"/>
          <w:szCs w:val="24"/>
          <w:lang w:eastAsia="zh-CN"/>
        </w:rPr>
        <w:t>1 Mar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A5B2D3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469BB">
        <w:rPr>
          <w:rFonts w:cs="Arial"/>
          <w:b/>
          <w:bCs/>
          <w:sz w:val="24"/>
          <w:lang w:eastAsia="ja-JP"/>
        </w:rPr>
        <w:t>9.3.19</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6282EC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62A1B">
        <w:rPr>
          <w:rFonts w:ascii="Arial" w:hAnsi="Arial" w:cs="Arial"/>
          <w:b/>
          <w:bCs/>
          <w:sz w:val="24"/>
        </w:rPr>
        <w:t>Information about S-RLF type</w:t>
      </w:r>
    </w:p>
    <w:p w14:paraId="7DF86DB4" w14:textId="5EC0769A" w:rsidR="00CD4C7B" w:rsidRPr="00B266B0" w:rsidRDefault="00CD4C7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128A72D6" w14:textId="51944B86" w:rsidR="00090E9F" w:rsidRDefault="008F0869" w:rsidP="00CD4C7B">
      <w:r>
        <w:t xml:space="preserve">At RAN3 #97-bis meeting, RAN3 enabled transfer of the </w:t>
      </w:r>
      <w:r w:rsidR="00D60233">
        <w:t xml:space="preserve">measurement information to the SN in case of S-RLF [1-2]. The decision was based on the agreements made before in RAN2. Thus currently, it is clearly specified that the MN forwards the measurement report in case the UE reports S-RLF. </w:t>
      </w:r>
    </w:p>
    <w:p w14:paraId="4122322A" w14:textId="3CE69096" w:rsidR="00D60233" w:rsidRDefault="00D60233" w:rsidP="00CD4C7B">
      <w:r>
        <w:t>However, in the meantime, RAN2 decided that also the failure type shall be provided, as specified in the TS 37.340, subclause 7.7:</w:t>
      </w:r>
    </w:p>
    <w:p w14:paraId="74459352" w14:textId="06D06F83" w:rsidR="000D6246" w:rsidRDefault="000D6246" w:rsidP="000D6246">
      <w:pPr>
        <w:ind w:left="567" w:right="569"/>
      </w:pPr>
      <w:r w:rsidRPr="00933AAF">
        <w:t xml:space="preserve">The UE includes in the </w:t>
      </w:r>
      <w:r w:rsidRPr="00BB7F3E">
        <w:rPr>
          <w:i/>
        </w:rPr>
        <w:t>SCG Failure Information</w:t>
      </w:r>
      <w:r w:rsidRPr="00933AAF">
        <w:t xml:space="preserve"> message the measurement results available according to current measurement configuration of both the MN and the SN.</w:t>
      </w:r>
      <w:r w:rsidRPr="00933AAF">
        <w:tab/>
        <w:t xml:space="preserve">The MN handles the </w:t>
      </w:r>
      <w:r w:rsidRPr="00BB7F3E">
        <w:rPr>
          <w:i/>
        </w:rPr>
        <w:t>SCG Failure Information</w:t>
      </w:r>
      <w:r w:rsidRPr="00933AAF">
        <w:t xml:space="preserve"> message and may decide to keep, change, or release the SN/SCG. In all the cases, the measurement results according to the SN configuration </w:t>
      </w:r>
      <w:r w:rsidRPr="000D6246">
        <w:rPr>
          <w:highlight w:val="yellow"/>
        </w:rPr>
        <w:t>and the SCG failure type</w:t>
      </w:r>
      <w:r w:rsidRPr="00933AAF">
        <w:t xml:space="preserve"> may be forwarded to the old SN and/or to the new SN.</w:t>
      </w:r>
    </w:p>
    <w:p w14:paraId="24712986" w14:textId="3D2D0922" w:rsidR="003E057E" w:rsidRDefault="000D6246" w:rsidP="00CD4C7B">
      <w:r>
        <w:t>This seems missing on the X2AP/XnAP currently.</w:t>
      </w:r>
    </w:p>
    <w:p w14:paraId="127ACA6D" w14:textId="6A454E05" w:rsidR="00CD4C7B" w:rsidRPr="006E13D1" w:rsidRDefault="00CD4C7B" w:rsidP="00CD4C7B">
      <w:pPr>
        <w:pStyle w:val="Heading1"/>
      </w:pPr>
      <w:r w:rsidRPr="006E13D1">
        <w:t>2</w:t>
      </w:r>
      <w:r w:rsidRPr="006E13D1">
        <w:tab/>
      </w:r>
      <w:r w:rsidR="003322FC">
        <w:t>Discussion</w:t>
      </w:r>
    </w:p>
    <w:p w14:paraId="1FE2FA92" w14:textId="3CE99A48" w:rsidR="002053CA" w:rsidRDefault="000D6246" w:rsidP="003302D3">
      <w:r>
        <w:t xml:space="preserve">The SCG failure type is provided in the </w:t>
      </w:r>
      <w:r w:rsidRPr="000D6246">
        <w:rPr>
          <w:i/>
        </w:rPr>
        <w:t>SCGFailureInformationNR</w:t>
      </w:r>
      <w:r>
        <w:t xml:space="preserve"> IE defined in the LTE RRC:</w:t>
      </w:r>
    </w:p>
    <w:p w14:paraId="4D0A0A3F" w14:textId="77777777" w:rsidR="000D6246" w:rsidRDefault="000D6246" w:rsidP="000D6246">
      <w:pPr>
        <w:pStyle w:val="TH"/>
        <w:ind w:left="1304"/>
        <w:rPr>
          <w:bCs/>
          <w:i/>
          <w:iCs/>
          <w:lang w:eastAsia="x-none"/>
        </w:rPr>
      </w:pPr>
      <w:r>
        <w:rPr>
          <w:bCs/>
          <w:i/>
          <w:iCs/>
          <w:noProof/>
        </w:rPr>
        <w:t>SCGFailureInformationNR message</w:t>
      </w:r>
    </w:p>
    <w:p w14:paraId="1537FC17" w14:textId="77777777" w:rsidR="000D6246" w:rsidRDefault="000D6246" w:rsidP="000D6246">
      <w:pPr>
        <w:pStyle w:val="PL"/>
        <w:ind w:left="1304"/>
        <w:rPr>
          <w:lang w:val="en-US"/>
        </w:rPr>
      </w:pPr>
      <w:r>
        <w:t>-- ASN1START</w:t>
      </w:r>
    </w:p>
    <w:p w14:paraId="1FCEB2BC" w14:textId="77777777" w:rsidR="000D6246" w:rsidRDefault="000D6246" w:rsidP="000D6246">
      <w:pPr>
        <w:pStyle w:val="PL"/>
        <w:ind w:left="1304"/>
      </w:pPr>
    </w:p>
    <w:p w14:paraId="57AB887F" w14:textId="77777777" w:rsidR="000D6246" w:rsidRDefault="000D6246" w:rsidP="000D6246">
      <w:pPr>
        <w:pStyle w:val="PL"/>
        <w:ind w:left="1304"/>
      </w:pPr>
      <w:r>
        <w:t>SCGFailureInformationNR-r15 ::=</w:t>
      </w:r>
      <w:r>
        <w:tab/>
      </w:r>
      <w:r>
        <w:tab/>
        <w:t>SEQUENCE {</w:t>
      </w:r>
    </w:p>
    <w:p w14:paraId="6AA064CC" w14:textId="77777777" w:rsidR="000D6246" w:rsidRDefault="000D6246" w:rsidP="000D6246">
      <w:pPr>
        <w:pStyle w:val="PL"/>
        <w:ind w:left="1304"/>
      </w:pPr>
      <w:r>
        <w:tab/>
        <w:t>criticalExtensions</w:t>
      </w:r>
      <w:r>
        <w:tab/>
      </w:r>
      <w:r>
        <w:tab/>
      </w:r>
      <w:r>
        <w:tab/>
      </w:r>
      <w:r>
        <w:tab/>
      </w:r>
      <w:r>
        <w:tab/>
        <w:t>CHOICE {</w:t>
      </w:r>
    </w:p>
    <w:p w14:paraId="2647DF32" w14:textId="77777777" w:rsidR="000D6246" w:rsidRDefault="000D6246" w:rsidP="000D6246">
      <w:pPr>
        <w:pStyle w:val="PL"/>
        <w:ind w:left="1304"/>
      </w:pPr>
      <w:r>
        <w:tab/>
      </w:r>
      <w:r>
        <w:tab/>
        <w:t>c1</w:t>
      </w:r>
      <w:r>
        <w:tab/>
      </w:r>
      <w:r>
        <w:tab/>
      </w:r>
      <w:r>
        <w:tab/>
      </w:r>
      <w:r>
        <w:tab/>
      </w:r>
      <w:r>
        <w:tab/>
      </w:r>
      <w:r>
        <w:tab/>
      </w:r>
      <w:r>
        <w:tab/>
      </w:r>
      <w:r>
        <w:tab/>
      </w:r>
      <w:r>
        <w:tab/>
        <w:t>CHOICE {</w:t>
      </w:r>
    </w:p>
    <w:p w14:paraId="2E4A4906" w14:textId="77777777" w:rsidR="000D6246" w:rsidRDefault="000D6246" w:rsidP="000D6246">
      <w:pPr>
        <w:pStyle w:val="PL"/>
        <w:ind w:left="1304"/>
      </w:pPr>
      <w:r>
        <w:tab/>
      </w:r>
      <w:r>
        <w:tab/>
      </w:r>
      <w:r>
        <w:tab/>
        <w:t>scgFailureInformationNR-r15</w:t>
      </w:r>
      <w:r>
        <w:tab/>
      </w:r>
      <w:r>
        <w:tab/>
      </w:r>
      <w:r>
        <w:tab/>
        <w:t>SCGFailureInformationNR-r15-IEs,</w:t>
      </w:r>
    </w:p>
    <w:p w14:paraId="72E02612" w14:textId="77777777" w:rsidR="000D6246" w:rsidRDefault="000D6246" w:rsidP="000D6246">
      <w:pPr>
        <w:pStyle w:val="PL"/>
        <w:ind w:left="1304"/>
      </w:pPr>
      <w:r>
        <w:tab/>
      </w:r>
      <w:r>
        <w:tab/>
      </w:r>
      <w:r>
        <w:tab/>
        <w:t>spare3 NULL, spare2 NULL, spare1 NULL</w:t>
      </w:r>
    </w:p>
    <w:p w14:paraId="1C2177E7" w14:textId="77777777" w:rsidR="000D6246" w:rsidRDefault="000D6246" w:rsidP="000D6246">
      <w:pPr>
        <w:pStyle w:val="PL"/>
        <w:ind w:left="1304"/>
      </w:pPr>
      <w:r>
        <w:tab/>
      </w:r>
      <w:r>
        <w:tab/>
        <w:t>},</w:t>
      </w:r>
    </w:p>
    <w:p w14:paraId="4B019A08" w14:textId="77777777" w:rsidR="000D6246" w:rsidRDefault="000D6246" w:rsidP="000D6246">
      <w:pPr>
        <w:pStyle w:val="PL"/>
        <w:ind w:left="1304"/>
      </w:pPr>
      <w:r>
        <w:tab/>
      </w:r>
      <w:r>
        <w:tab/>
        <w:t>criticalExtensionsFuture</w:t>
      </w:r>
      <w:r>
        <w:tab/>
      </w:r>
      <w:r>
        <w:tab/>
      </w:r>
      <w:r>
        <w:tab/>
        <w:t>SEQUENCE {}</w:t>
      </w:r>
    </w:p>
    <w:p w14:paraId="177EF8D4" w14:textId="77777777" w:rsidR="000D6246" w:rsidRDefault="000D6246" w:rsidP="000D6246">
      <w:pPr>
        <w:pStyle w:val="PL"/>
        <w:ind w:left="1304"/>
      </w:pPr>
      <w:r>
        <w:tab/>
        <w:t>}</w:t>
      </w:r>
    </w:p>
    <w:p w14:paraId="7D1CA146" w14:textId="77777777" w:rsidR="000D6246" w:rsidRDefault="000D6246" w:rsidP="000D6246">
      <w:pPr>
        <w:pStyle w:val="PL"/>
        <w:ind w:left="1304"/>
      </w:pPr>
      <w:r>
        <w:t>}</w:t>
      </w:r>
    </w:p>
    <w:p w14:paraId="4E63E67A" w14:textId="77777777" w:rsidR="000D6246" w:rsidRDefault="000D6246" w:rsidP="000D6246">
      <w:pPr>
        <w:pStyle w:val="PL"/>
        <w:ind w:left="1304"/>
      </w:pPr>
    </w:p>
    <w:p w14:paraId="698DAD76" w14:textId="77777777" w:rsidR="000D6246" w:rsidRDefault="000D6246" w:rsidP="000D6246">
      <w:pPr>
        <w:pStyle w:val="PL"/>
        <w:ind w:left="1304"/>
      </w:pPr>
      <w:r>
        <w:t>SCGFailureInformationNR-r15-IEs ::=</w:t>
      </w:r>
      <w:r>
        <w:tab/>
        <w:t>SEQUENCE {</w:t>
      </w:r>
    </w:p>
    <w:p w14:paraId="7B446B38" w14:textId="77777777" w:rsidR="000D6246" w:rsidRDefault="000D6246" w:rsidP="000D6246">
      <w:pPr>
        <w:pStyle w:val="PL"/>
        <w:ind w:left="1304"/>
      </w:pPr>
      <w:r>
        <w:tab/>
        <w:t>failureReportSCG-NR-r15</w:t>
      </w:r>
      <w:r>
        <w:tab/>
      </w:r>
      <w:r>
        <w:tab/>
      </w:r>
      <w:r>
        <w:tab/>
      </w:r>
      <w:r>
        <w:tab/>
        <w:t>FailureReportSCG-NR-r15</w:t>
      </w:r>
      <w:r>
        <w:tab/>
      </w:r>
      <w:r>
        <w:tab/>
      </w:r>
      <w:r>
        <w:tab/>
        <w:t>OPTIONAL,</w:t>
      </w:r>
    </w:p>
    <w:p w14:paraId="0AD23E01" w14:textId="77777777" w:rsidR="000D6246" w:rsidRDefault="000D6246" w:rsidP="000D6246">
      <w:pPr>
        <w:pStyle w:val="PL"/>
        <w:ind w:left="1304"/>
      </w:pPr>
      <w:r>
        <w:tab/>
        <w:t>nonCriticalExtension</w:t>
      </w:r>
      <w:r>
        <w:tab/>
      </w:r>
      <w:r>
        <w:tab/>
      </w:r>
      <w:r>
        <w:tab/>
      </w:r>
      <w:r>
        <w:tab/>
        <w:t>SEQUENCE {}</w:t>
      </w:r>
      <w:r>
        <w:tab/>
      </w:r>
      <w:r>
        <w:tab/>
      </w:r>
      <w:r>
        <w:tab/>
      </w:r>
      <w:r>
        <w:tab/>
      </w:r>
      <w:r>
        <w:tab/>
      </w:r>
      <w:r>
        <w:tab/>
      </w:r>
      <w:r>
        <w:tab/>
        <w:t>OPTIONAL</w:t>
      </w:r>
    </w:p>
    <w:p w14:paraId="3EA16D2D" w14:textId="77777777" w:rsidR="000D6246" w:rsidRDefault="000D6246" w:rsidP="000D6246">
      <w:pPr>
        <w:pStyle w:val="PL"/>
        <w:ind w:left="1304"/>
      </w:pPr>
      <w:r>
        <w:t>}</w:t>
      </w:r>
    </w:p>
    <w:p w14:paraId="51E635C2" w14:textId="77777777" w:rsidR="000D6246" w:rsidRDefault="000D6246" w:rsidP="000D6246">
      <w:pPr>
        <w:pStyle w:val="PL"/>
        <w:shd w:val="pct10" w:color="auto" w:fill="auto"/>
        <w:ind w:left="1304"/>
      </w:pPr>
    </w:p>
    <w:p w14:paraId="07A92839" w14:textId="77777777" w:rsidR="000D6246" w:rsidRDefault="000D6246" w:rsidP="000D6246">
      <w:pPr>
        <w:pStyle w:val="PL"/>
        <w:shd w:val="pct10" w:color="auto" w:fill="auto"/>
        <w:ind w:left="1304"/>
      </w:pPr>
      <w:r>
        <w:t>FailureReportSCG-NR-r15 ::=</w:t>
      </w:r>
      <w:r>
        <w:tab/>
      </w:r>
      <w:r>
        <w:tab/>
        <w:t>SEQUENCE {</w:t>
      </w:r>
    </w:p>
    <w:p w14:paraId="7F78D6E3" w14:textId="77777777" w:rsidR="000D6246" w:rsidRPr="00204054" w:rsidRDefault="000D6246" w:rsidP="000D6246">
      <w:pPr>
        <w:pStyle w:val="PL"/>
        <w:shd w:val="pct10" w:color="auto" w:fill="auto"/>
        <w:ind w:left="1304"/>
        <w:rPr>
          <w:highlight w:val="yellow"/>
        </w:rPr>
      </w:pPr>
      <w:r>
        <w:tab/>
      </w:r>
      <w:r w:rsidRPr="00204054">
        <w:rPr>
          <w:highlight w:val="yellow"/>
        </w:rPr>
        <w:t>failureType-r15</w:t>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t>ENUMERATED {</w:t>
      </w:r>
    </w:p>
    <w:p w14:paraId="59D8CDE8" w14:textId="77777777" w:rsidR="000D6246" w:rsidRPr="00204054" w:rsidRDefault="000D6246" w:rsidP="000D6246">
      <w:pPr>
        <w:pStyle w:val="PL"/>
        <w:shd w:val="pct10" w:color="auto" w:fill="auto"/>
        <w:ind w:left="1304"/>
        <w:rPr>
          <w:highlight w:val="yellow"/>
        </w:rPr>
      </w:pP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t>t31</w:t>
      </w:r>
      <w:r w:rsidRPr="00204054">
        <w:rPr>
          <w:rFonts w:eastAsia="MS Mincho"/>
          <w:highlight w:val="yellow"/>
        </w:rPr>
        <w:t>0</w:t>
      </w:r>
      <w:r w:rsidRPr="00204054">
        <w:rPr>
          <w:highlight w:val="yellow"/>
        </w:rPr>
        <w:t>-Expiry, randomAccessProblem,</w:t>
      </w:r>
    </w:p>
    <w:p w14:paraId="6D601877" w14:textId="77777777" w:rsidR="000D6246" w:rsidRPr="00204054" w:rsidRDefault="000D6246" w:rsidP="000D6246">
      <w:pPr>
        <w:pStyle w:val="PL"/>
        <w:shd w:val="pct10" w:color="auto" w:fill="auto"/>
        <w:ind w:left="1304"/>
        <w:rPr>
          <w:highlight w:val="yellow"/>
        </w:rPr>
      </w:pP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t>rlc-MaxNumRetx,</w:t>
      </w:r>
    </w:p>
    <w:p w14:paraId="1A978F9C" w14:textId="77777777" w:rsidR="000D6246" w:rsidRPr="00204054" w:rsidRDefault="000D6246" w:rsidP="000D6246">
      <w:pPr>
        <w:pStyle w:val="PL"/>
        <w:shd w:val="pct10" w:color="auto" w:fill="auto"/>
        <w:ind w:left="1304"/>
        <w:rPr>
          <w:highlight w:val="yellow"/>
        </w:rPr>
      </w:pP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t>scg-ChangeFailure, scg-reconfigFailure,</w:t>
      </w:r>
    </w:p>
    <w:p w14:paraId="436D093F" w14:textId="77777777" w:rsidR="000D6246" w:rsidRDefault="000D6246" w:rsidP="000D6246">
      <w:pPr>
        <w:pStyle w:val="PL"/>
        <w:shd w:val="pct10" w:color="auto" w:fill="auto"/>
        <w:ind w:left="1304"/>
      </w:pP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r>
      <w:r w:rsidRPr="00204054">
        <w:rPr>
          <w:highlight w:val="yellow"/>
        </w:rPr>
        <w:tab/>
        <w:t>srb3-IntegrityFailure},</w:t>
      </w:r>
    </w:p>
    <w:p w14:paraId="49088ADB" w14:textId="77777777" w:rsidR="000D6246" w:rsidRDefault="000D6246" w:rsidP="000D6246">
      <w:pPr>
        <w:pStyle w:val="PL"/>
        <w:shd w:val="pct10" w:color="auto" w:fill="auto"/>
        <w:ind w:left="1304"/>
      </w:pPr>
      <w:r>
        <w:tab/>
        <w:t>measResultFreqListNR-r15</w:t>
      </w:r>
      <w:r>
        <w:tab/>
      </w:r>
      <w:r>
        <w:tab/>
      </w:r>
      <w:r>
        <w:tab/>
      </w:r>
      <w:r>
        <w:tab/>
        <w:t>MeasResultFreqListFailNR-r15</w:t>
      </w:r>
      <w:r>
        <w:tab/>
      </w:r>
      <w:r>
        <w:tab/>
        <w:t>OPTIONAL,</w:t>
      </w:r>
    </w:p>
    <w:p w14:paraId="67C3CCA5" w14:textId="77777777" w:rsidR="000D6246" w:rsidRDefault="000D6246" w:rsidP="000D6246">
      <w:pPr>
        <w:pStyle w:val="PL"/>
        <w:shd w:val="pct10" w:color="auto" w:fill="auto"/>
        <w:ind w:left="1304"/>
      </w:pPr>
      <w:r>
        <w:tab/>
        <w:t>measResultSCG-r15</w:t>
      </w:r>
      <w:r>
        <w:tab/>
      </w:r>
      <w:r>
        <w:tab/>
      </w:r>
      <w:r>
        <w:tab/>
      </w:r>
      <w:r>
        <w:tab/>
      </w:r>
      <w:r>
        <w:tab/>
      </w:r>
      <w:r>
        <w:tab/>
        <w:t>OCTET STRING</w:t>
      </w:r>
      <w:r>
        <w:tab/>
      </w:r>
      <w:r>
        <w:tab/>
      </w:r>
      <w:r>
        <w:tab/>
      </w:r>
      <w:r>
        <w:tab/>
      </w:r>
      <w:r>
        <w:tab/>
      </w:r>
      <w:r>
        <w:tab/>
        <w:t>OPTIONAL,</w:t>
      </w:r>
    </w:p>
    <w:p w14:paraId="5D8ED505" w14:textId="77777777" w:rsidR="000D6246" w:rsidRDefault="000D6246" w:rsidP="000D6246">
      <w:pPr>
        <w:pStyle w:val="PL"/>
        <w:shd w:val="pct10" w:color="auto" w:fill="auto"/>
        <w:ind w:left="1304"/>
      </w:pPr>
      <w:r>
        <w:tab/>
        <w:t>...</w:t>
      </w:r>
    </w:p>
    <w:p w14:paraId="4B8EFD0E" w14:textId="5B3D39E2" w:rsidR="000D6246" w:rsidRDefault="000D6246" w:rsidP="000D6246">
      <w:pPr>
        <w:pStyle w:val="PL"/>
        <w:shd w:val="pct10" w:color="auto" w:fill="auto"/>
        <w:ind w:left="1304"/>
      </w:pPr>
      <w:r>
        <w:t>}</w:t>
      </w:r>
    </w:p>
    <w:p w14:paraId="56E279D4" w14:textId="496894FA" w:rsidR="00041259" w:rsidRDefault="00041259" w:rsidP="000D6246">
      <w:pPr>
        <w:pStyle w:val="PL"/>
        <w:shd w:val="pct10" w:color="auto" w:fill="auto"/>
        <w:ind w:left="1304"/>
      </w:pPr>
    </w:p>
    <w:p w14:paraId="4C28284A" w14:textId="259C610A" w:rsidR="00041259" w:rsidRDefault="00041259" w:rsidP="00041259">
      <w:pPr>
        <w:pStyle w:val="PL"/>
        <w:ind w:left="1304"/>
      </w:pPr>
      <w:r>
        <w:t>-- ASN1END</w:t>
      </w:r>
    </w:p>
    <w:p w14:paraId="68D0A2BB" w14:textId="26FFD353" w:rsidR="000D6246" w:rsidRDefault="000D6246" w:rsidP="003302D3"/>
    <w:p w14:paraId="3F5AE680" w14:textId="4CAC1DBF" w:rsidR="000D6246" w:rsidRDefault="00B373E1" w:rsidP="003302D3">
      <w:r>
        <w:lastRenderedPageBreak/>
        <w:t>In order to provide it to the SgNB, this must be somehow included in the RRC TRANSFER message. There are several ways to do it:</w:t>
      </w:r>
    </w:p>
    <w:p w14:paraId="01FE1603" w14:textId="7837E3BB" w:rsidR="00B373E1" w:rsidRDefault="00B373E1" w:rsidP="00CF38AA">
      <w:pPr>
        <w:ind w:firstLine="284"/>
      </w:pPr>
      <w:r>
        <w:t xml:space="preserve">1) Including the whole </w:t>
      </w:r>
      <w:r w:rsidRPr="000D6246">
        <w:rPr>
          <w:i/>
        </w:rPr>
        <w:t>SCGFailureInformationNR</w:t>
      </w:r>
      <w:r>
        <w:t xml:space="preserve"> IE </w:t>
      </w:r>
      <w:r w:rsidR="009E0BD0">
        <w:t xml:space="preserve">in the </w:t>
      </w:r>
      <w:r>
        <w:t>RRC TRANSFER message.</w:t>
      </w:r>
    </w:p>
    <w:p w14:paraId="00AC2411" w14:textId="770D1591" w:rsidR="00B373E1" w:rsidRDefault="00B373E1" w:rsidP="003302D3">
      <w:r>
        <w:t>This may be done only if a new container IE is added in the message. Otherwise, if the existing container is used, the SgNB may not be able to tell how to read the container: according to LTE or NR RRC encoding</w:t>
      </w:r>
      <w:r w:rsidR="008A6989">
        <w:t>*</w:t>
      </w:r>
      <w:r>
        <w:t>. This can be resolved, if a flag is added, but still, the SgNB will have to be able to read LTE RRC IE.</w:t>
      </w:r>
    </w:p>
    <w:p w14:paraId="4C0140C1" w14:textId="334A5324" w:rsidR="008A6989" w:rsidRDefault="008A6989" w:rsidP="003302D3">
      <w:r>
        <w:t xml:space="preserve">*) In XnAP, the RRC Container may include either NR </w:t>
      </w:r>
      <w:r w:rsidRPr="008A6989">
        <w:rPr>
          <w:i/>
        </w:rPr>
        <w:t>MeasurementReport</w:t>
      </w:r>
      <w:r>
        <w:t xml:space="preserve">, or LTE </w:t>
      </w:r>
      <w:r w:rsidRPr="008A6989">
        <w:rPr>
          <w:i/>
        </w:rPr>
        <w:t>MeasurementReport</w:t>
      </w:r>
      <w:r>
        <w:t xml:space="preserve"> – theoretically, therefore, the same kind of confusion may arise. However, there, the version of the content depends on the receiver: an SgNB will never receive LTE </w:t>
      </w:r>
      <w:r w:rsidRPr="008A6989">
        <w:rPr>
          <w:i/>
        </w:rPr>
        <w:t>MeasurementReport</w:t>
      </w:r>
      <w:r>
        <w:t xml:space="preserve">, while SeNB will never receive NR </w:t>
      </w:r>
      <w:r w:rsidRPr="008A6989">
        <w:rPr>
          <w:i/>
        </w:rPr>
        <w:t>MeasurementReport</w:t>
      </w:r>
      <w:r>
        <w:t>. Hence, there, the problem does not exist.</w:t>
      </w:r>
    </w:p>
    <w:p w14:paraId="4714EDF2" w14:textId="50A2FB43" w:rsidR="00B373E1" w:rsidRDefault="00B373E1" w:rsidP="00CF38AA">
      <w:pPr>
        <w:ind w:left="284"/>
      </w:pPr>
      <w:r>
        <w:t xml:space="preserve">2) Creating a new </w:t>
      </w:r>
      <w:r w:rsidR="009E0BD0" w:rsidRPr="00776B47">
        <w:rPr>
          <w:rFonts w:cs="Arial"/>
          <w:lang w:eastAsia="ja-JP"/>
        </w:rPr>
        <w:t xml:space="preserve">UL-DCCH-Message </w:t>
      </w:r>
      <w:r>
        <w:t xml:space="preserve">in the NR RRC, which combines measurement results and theS-RLF type. The IE could then be included in the RRC TRANSFER message (in the RRC Container IE) instead of the </w:t>
      </w:r>
      <w:r w:rsidRPr="00B373E1">
        <w:rPr>
          <w:i/>
        </w:rPr>
        <w:t>MeasurementReport</w:t>
      </w:r>
      <w:r>
        <w:t xml:space="preserve"> if the message is sent after a detected S-RLF.</w:t>
      </w:r>
    </w:p>
    <w:p w14:paraId="3CADD38C" w14:textId="1F284F11" w:rsidR="00B373E1" w:rsidRDefault="00B373E1" w:rsidP="003302D3">
      <w:r>
        <w:t>This makes the solution nearly transparent to RAN3</w:t>
      </w:r>
      <w:r w:rsidR="00333639">
        <w:t xml:space="preserve"> (only semantics of the RRC Container IE ought to be updated), as well as it spares the SgNB from decoding LTE RRC messages. The disadvantage is though that the correction must be applied in more standards, which will be time consuming.</w:t>
      </w:r>
    </w:p>
    <w:p w14:paraId="686DFE1D" w14:textId="047A8BD0" w:rsidR="00333639" w:rsidRDefault="00333639" w:rsidP="009E0BD0">
      <w:pPr>
        <w:ind w:left="284"/>
      </w:pPr>
      <w:r>
        <w:t xml:space="preserve">3) </w:t>
      </w:r>
      <w:r w:rsidR="009E0BD0">
        <w:t>A new container is defined</w:t>
      </w:r>
      <w:r>
        <w:t xml:space="preserve"> explicit</w:t>
      </w:r>
      <w:r w:rsidR="009E0BD0">
        <w:t>ly in the</w:t>
      </w:r>
      <w:r>
        <w:t xml:space="preserve"> X2AP / XnAP IE</w:t>
      </w:r>
      <w:r w:rsidR="009E0BD0">
        <w:t xml:space="preserve"> to transfer the S-RLF measurements (reported as </w:t>
      </w:r>
      <w:r w:rsidR="009E0BD0" w:rsidRPr="009E0BD0">
        <w:t>MeasResultSCG-Failure</w:t>
      </w:r>
      <w:r w:rsidR="009E0BD0">
        <w:t xml:space="preserve"> IE), along with the S-RLF type; the latter must be decoded from LTE RRC at the eNB, so it can be added as an explicit X2AP/XnAP IE</w:t>
      </w:r>
      <w:r>
        <w:t xml:space="preserve">. </w:t>
      </w:r>
    </w:p>
    <w:p w14:paraId="42C28E29" w14:textId="6D953877" w:rsidR="00333639" w:rsidRDefault="00333639" w:rsidP="003302D3">
      <w:r>
        <w:t xml:space="preserve">This is probably the fastest way to patch the gap. Functionally, it is nearly identical as (2) above (the MeNB must forward the S-RLF type in new encoding, the SgNB is able to tell a regular measurement report from a S-RLF-related one), but it involves RAN3 </w:t>
      </w:r>
      <w:r w:rsidR="009E0BD0">
        <w:t xml:space="preserve">WG </w:t>
      </w:r>
      <w:r>
        <w:t xml:space="preserve">only. </w:t>
      </w:r>
    </w:p>
    <w:p w14:paraId="479BEC45" w14:textId="2EE181EC" w:rsidR="00333639" w:rsidRPr="00CF38AA" w:rsidRDefault="00EF16B3" w:rsidP="003302D3">
      <w:pPr>
        <w:rPr>
          <w:b/>
        </w:rPr>
      </w:pPr>
      <w:r>
        <w:rPr>
          <w:b/>
        </w:rPr>
        <w:t xml:space="preserve">Proposal 1: </w:t>
      </w:r>
      <w:r w:rsidR="00333639" w:rsidRPr="00CF38AA">
        <w:rPr>
          <w:b/>
        </w:rPr>
        <w:t xml:space="preserve">Considering the above, we propose to implement the correction as proposed in (3) above: as an explicit </w:t>
      </w:r>
      <w:r w:rsidR="00F60D74">
        <w:rPr>
          <w:b/>
        </w:rPr>
        <w:t xml:space="preserve">optional </w:t>
      </w:r>
      <w:r w:rsidR="00333639" w:rsidRPr="00CF38AA">
        <w:rPr>
          <w:b/>
        </w:rPr>
        <w:t>X2AP/XnAP IE</w:t>
      </w:r>
      <w:r w:rsidR="009E0BD0">
        <w:rPr>
          <w:b/>
        </w:rPr>
        <w:t xml:space="preserve"> in the RRC TRANSFER, which contains both, the S-RLF-related NR measurements and the S-RLF type</w:t>
      </w:r>
      <w:r w:rsidR="00333639" w:rsidRPr="00CF38AA">
        <w:rPr>
          <w:b/>
        </w:rPr>
        <w:t xml:space="preserve">. </w:t>
      </w:r>
    </w:p>
    <w:p w14:paraId="22F1B1BB" w14:textId="1660B209" w:rsidR="003B6A7E" w:rsidRDefault="003B6A7E" w:rsidP="003B6A7E">
      <w:r>
        <w:t xml:space="preserve">Collaterally, </w:t>
      </w:r>
      <w:r w:rsidR="00EF16B3">
        <w:t xml:space="preserve">some aspects may need to the clarified. Currently, there is the </w:t>
      </w:r>
      <w:r w:rsidR="00EF16B3" w:rsidRPr="003E057E">
        <w:rPr>
          <w:i/>
        </w:rPr>
        <w:t>FailureInformation</w:t>
      </w:r>
      <w:r w:rsidR="00EF16B3">
        <w:t xml:space="preserve"> IE, which may be transferred in the RRC TRANSFER message. However, it does not concern S-RLF, but RLC failure information (there may be only one type of the falure there: “duplication”). This shall be clarified in the specification more clearly, to avoid future confusions. Also, currently, the RRC Container may transfer the content of the </w:t>
      </w:r>
      <w:r w:rsidR="00EF16B3" w:rsidRPr="00EF16B3">
        <w:rPr>
          <w:i/>
        </w:rPr>
        <w:t>MeasurementReport</w:t>
      </w:r>
      <w:r w:rsidR="00EF16B3">
        <w:t xml:space="preserve"> IE. However, in case of an S-RLF, the most recent NR measurements are delivered in </w:t>
      </w:r>
      <w:r w:rsidR="00EF16B3" w:rsidRPr="00EF16B3">
        <w:rPr>
          <w:i/>
        </w:rPr>
        <w:t>MeasResultSCG-Failure</w:t>
      </w:r>
      <w:r w:rsidR="00EF16B3" w:rsidRPr="00EF16B3">
        <w:t xml:space="preserve"> IE</w:t>
      </w:r>
      <w:r w:rsidR="00EF16B3">
        <w:t xml:space="preserve"> defined in the NR RRC. In order to avoid providing outdated results, the content of this IE shall rather be transferred.</w:t>
      </w:r>
    </w:p>
    <w:p w14:paraId="169ABDCB" w14:textId="0A6A6AEC" w:rsidR="00EF16B3" w:rsidRPr="00EF16B3" w:rsidRDefault="00EF16B3" w:rsidP="003B6A7E">
      <w:pPr>
        <w:rPr>
          <w:b/>
        </w:rPr>
      </w:pPr>
      <w:r w:rsidRPr="00EF16B3">
        <w:rPr>
          <w:b/>
        </w:rPr>
        <w:t>Proposal 2: The clarification that the FailureInformation concerns RLC failures, as well as enabling transferring the most recent measurements in case of S-RLF shall be included, too.</w:t>
      </w:r>
    </w:p>
    <w:p w14:paraId="37ABFC68" w14:textId="5EDDC58F" w:rsidR="009E0CAA" w:rsidRPr="006E13D1" w:rsidRDefault="009E0CAA" w:rsidP="009E0CAA">
      <w:pPr>
        <w:pStyle w:val="Heading1"/>
      </w:pPr>
      <w:r>
        <w:t>3</w:t>
      </w:r>
      <w:r w:rsidRPr="006E13D1">
        <w:tab/>
      </w:r>
      <w:r>
        <w:t>Conclusions</w:t>
      </w:r>
    </w:p>
    <w:p w14:paraId="78793183" w14:textId="15D846E6" w:rsidR="009509BF" w:rsidRDefault="00F60D74" w:rsidP="009509BF">
      <w:r>
        <w:t xml:space="preserve">In this paper, we analyse the mismatch between declared functionality and the actual signalling enabled for S-RLF reporting. As presented, the S-RLF type can not be delivered to the SgNB, even though it shall be. We also discuss three methods to enable it. Considering the implementation burden, but also standardisation effort, </w:t>
      </w:r>
      <w:r w:rsidR="009E0BD0" w:rsidRPr="009E0BD0">
        <w:rPr>
          <w:b/>
        </w:rPr>
        <w:t>we propose to implement the correction as proposed in (3) above: as an explicit optional X2AP/XnAP IE in the RRC TRANSFER, which contains both, the S-RLF-related NR measurements and the S-RLF type.</w:t>
      </w:r>
      <w:r w:rsidR="00F50EAA" w:rsidRPr="00F50EAA">
        <w:t xml:space="preserve"> C</w:t>
      </w:r>
      <w:r w:rsidR="00F50EAA">
        <w:t>ollaterally, clarification on the other failure reporting is proposed.</w:t>
      </w:r>
    </w:p>
    <w:p w14:paraId="22BA9CD6" w14:textId="40C26A43" w:rsidR="00F60D74" w:rsidRDefault="00F60D74" w:rsidP="009509BF">
      <w:r>
        <w:t>The needed changes are provided in [3] and [4].</w:t>
      </w:r>
      <w:r w:rsidR="009B7DC1">
        <w:t xml:space="preserve"> In case of XnAP, the information on S-RLF type in case of M</w:t>
      </w:r>
      <w:r w:rsidR="00B469BB">
        <w:t>g</w:t>
      </w:r>
      <w:bookmarkStart w:id="0" w:name="_GoBack"/>
      <w:bookmarkEnd w:id="0"/>
      <w:r w:rsidR="009B7DC1">
        <w:t>NB is not defined yet, so will have to be added in future.</w:t>
      </w:r>
    </w:p>
    <w:p w14:paraId="0FDCFAC2" w14:textId="363FBC7D" w:rsidR="00CD4C7B" w:rsidRPr="006E13D1" w:rsidRDefault="009E0CAA" w:rsidP="00CD4C7B">
      <w:pPr>
        <w:pStyle w:val="Heading1"/>
      </w:pPr>
      <w:r>
        <w:t>4</w:t>
      </w:r>
      <w:r>
        <w:tab/>
      </w:r>
      <w:r w:rsidR="00CD4C7B" w:rsidRPr="006E13D1">
        <w:t>References</w:t>
      </w:r>
    </w:p>
    <w:p w14:paraId="324777A3" w14:textId="0E025438" w:rsidR="00B776A4" w:rsidRDefault="00D60233" w:rsidP="00AD5223">
      <w:pPr>
        <w:numPr>
          <w:ilvl w:val="0"/>
          <w:numId w:val="4"/>
        </w:numPr>
        <w:overflowPunct w:val="0"/>
        <w:autoSpaceDE w:val="0"/>
        <w:autoSpaceDN w:val="0"/>
        <w:adjustRightInd w:val="0"/>
        <w:textAlignment w:val="baseline"/>
      </w:pPr>
      <w:bookmarkStart w:id="1" w:name="_Ref75086397"/>
      <w:bookmarkEnd w:id="1"/>
      <w:r w:rsidRPr="00D60233">
        <w:t>R3-174204</w:t>
      </w:r>
      <w:r>
        <w:t>, RAN3 #97bis</w:t>
      </w:r>
    </w:p>
    <w:p w14:paraId="0A65AB55" w14:textId="64FDA282" w:rsidR="00D60233" w:rsidRDefault="00D60233" w:rsidP="00AD5223">
      <w:pPr>
        <w:numPr>
          <w:ilvl w:val="0"/>
          <w:numId w:val="4"/>
        </w:numPr>
        <w:overflowPunct w:val="0"/>
        <w:autoSpaceDE w:val="0"/>
        <w:autoSpaceDN w:val="0"/>
        <w:adjustRightInd w:val="0"/>
        <w:textAlignment w:val="baseline"/>
      </w:pPr>
      <w:r w:rsidRPr="00D60233">
        <w:t>R3-174205</w:t>
      </w:r>
      <w:r>
        <w:t>, RAN3 #97bis</w:t>
      </w:r>
    </w:p>
    <w:p w14:paraId="715042EB" w14:textId="27C64482" w:rsidR="00F60D74" w:rsidRDefault="00F60D74" w:rsidP="00AD5223">
      <w:pPr>
        <w:numPr>
          <w:ilvl w:val="0"/>
          <w:numId w:val="4"/>
        </w:numPr>
        <w:overflowPunct w:val="0"/>
        <w:autoSpaceDE w:val="0"/>
        <w:autoSpaceDN w:val="0"/>
        <w:adjustRightInd w:val="0"/>
        <w:textAlignment w:val="baseline"/>
      </w:pPr>
      <w:r>
        <w:lastRenderedPageBreak/>
        <w:t>R3-19</w:t>
      </w:r>
      <w:r w:rsidR="00B469BB">
        <w:t>0156</w:t>
      </w:r>
      <w:r>
        <w:t>, RAN3 #103</w:t>
      </w:r>
    </w:p>
    <w:p w14:paraId="0DEF071A" w14:textId="2620BDD6" w:rsidR="00F60D74" w:rsidRDefault="00F60D74" w:rsidP="00F60D74">
      <w:pPr>
        <w:numPr>
          <w:ilvl w:val="0"/>
          <w:numId w:val="4"/>
        </w:numPr>
        <w:overflowPunct w:val="0"/>
        <w:autoSpaceDE w:val="0"/>
        <w:autoSpaceDN w:val="0"/>
        <w:adjustRightInd w:val="0"/>
        <w:textAlignment w:val="baseline"/>
      </w:pPr>
      <w:r>
        <w:t>R3-19</w:t>
      </w:r>
      <w:r w:rsidR="00B469BB">
        <w:t>0157</w:t>
      </w:r>
      <w:r>
        <w:t>, RAN3 #103</w:t>
      </w:r>
    </w:p>
    <w:p w14:paraId="2035FFF3" w14:textId="77777777" w:rsidR="00B776A4" w:rsidRPr="006E13D1" w:rsidRDefault="00B776A4" w:rsidP="00B776A4">
      <w:pPr>
        <w:overflowPunct w:val="0"/>
        <w:autoSpaceDE w:val="0"/>
        <w:autoSpaceDN w:val="0"/>
        <w:adjustRightInd w:val="0"/>
        <w:textAlignment w:val="baseline"/>
      </w:pPr>
    </w:p>
    <w:sectPr w:rsidR="00B776A4"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30067" w14:textId="77777777" w:rsidR="00F752CE" w:rsidRDefault="00F752CE">
      <w:r>
        <w:separator/>
      </w:r>
    </w:p>
  </w:endnote>
  <w:endnote w:type="continuationSeparator" w:id="0">
    <w:p w14:paraId="11CD71A8" w14:textId="77777777" w:rsidR="00F752CE" w:rsidRDefault="00F7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05630" w14:textId="77777777" w:rsidR="00F752CE" w:rsidRDefault="00F752CE">
      <w:r>
        <w:separator/>
      </w:r>
    </w:p>
  </w:footnote>
  <w:footnote w:type="continuationSeparator" w:id="0">
    <w:p w14:paraId="5567E0CE" w14:textId="77777777" w:rsidR="00F752CE" w:rsidRDefault="00F7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86DAB"/>
    <w:multiLevelType w:val="hybridMultilevel"/>
    <w:tmpl w:val="51080CDC"/>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7600F6"/>
    <w:multiLevelType w:val="hybridMultilevel"/>
    <w:tmpl w:val="F9CA5A28"/>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53167"/>
    <w:multiLevelType w:val="hybridMultilevel"/>
    <w:tmpl w:val="8AEAC9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634CAE"/>
    <w:multiLevelType w:val="hybridMultilevel"/>
    <w:tmpl w:val="B6AC80C4"/>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D62729"/>
    <w:multiLevelType w:val="hybridMultilevel"/>
    <w:tmpl w:val="DB3ADF3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32"/>
    <w:rsid w:val="00017352"/>
    <w:rsid w:val="00033397"/>
    <w:rsid w:val="00040095"/>
    <w:rsid w:val="00041259"/>
    <w:rsid w:val="00050111"/>
    <w:rsid w:val="00080512"/>
    <w:rsid w:val="00090468"/>
    <w:rsid w:val="00090E9F"/>
    <w:rsid w:val="000B7BCF"/>
    <w:rsid w:val="000C522B"/>
    <w:rsid w:val="000D58AB"/>
    <w:rsid w:val="000D6246"/>
    <w:rsid w:val="00110E9C"/>
    <w:rsid w:val="00112F1A"/>
    <w:rsid w:val="00145075"/>
    <w:rsid w:val="00155D38"/>
    <w:rsid w:val="001741A0"/>
    <w:rsid w:val="00175FA0"/>
    <w:rsid w:val="00194CD0"/>
    <w:rsid w:val="001A406E"/>
    <w:rsid w:val="001B120E"/>
    <w:rsid w:val="001B49C9"/>
    <w:rsid w:val="001B659A"/>
    <w:rsid w:val="001C4F79"/>
    <w:rsid w:val="001F168B"/>
    <w:rsid w:val="001F7831"/>
    <w:rsid w:val="0020235F"/>
    <w:rsid w:val="00204045"/>
    <w:rsid w:val="00204054"/>
    <w:rsid w:val="002053CA"/>
    <w:rsid w:val="0020712B"/>
    <w:rsid w:val="0022606D"/>
    <w:rsid w:val="00231728"/>
    <w:rsid w:val="0024383C"/>
    <w:rsid w:val="002610D8"/>
    <w:rsid w:val="002747EC"/>
    <w:rsid w:val="002855BF"/>
    <w:rsid w:val="002D6A5E"/>
    <w:rsid w:val="002F0D22"/>
    <w:rsid w:val="0030404F"/>
    <w:rsid w:val="003172DC"/>
    <w:rsid w:val="00325AE3"/>
    <w:rsid w:val="00326069"/>
    <w:rsid w:val="003302D3"/>
    <w:rsid w:val="003322FC"/>
    <w:rsid w:val="00333639"/>
    <w:rsid w:val="0034639B"/>
    <w:rsid w:val="0035462D"/>
    <w:rsid w:val="00364B41"/>
    <w:rsid w:val="003A41EF"/>
    <w:rsid w:val="003B40AD"/>
    <w:rsid w:val="003B6579"/>
    <w:rsid w:val="003B6A7E"/>
    <w:rsid w:val="003C436E"/>
    <w:rsid w:val="003C4E37"/>
    <w:rsid w:val="003D0AB1"/>
    <w:rsid w:val="003D7A07"/>
    <w:rsid w:val="003E057E"/>
    <w:rsid w:val="003E16BE"/>
    <w:rsid w:val="003F4E28"/>
    <w:rsid w:val="004006E8"/>
    <w:rsid w:val="00401855"/>
    <w:rsid w:val="00405107"/>
    <w:rsid w:val="004657CD"/>
    <w:rsid w:val="00473FF5"/>
    <w:rsid w:val="00477455"/>
    <w:rsid w:val="004808A8"/>
    <w:rsid w:val="004855F1"/>
    <w:rsid w:val="004A1F7B"/>
    <w:rsid w:val="004C44D2"/>
    <w:rsid w:val="004C6842"/>
    <w:rsid w:val="004D3578"/>
    <w:rsid w:val="004D380D"/>
    <w:rsid w:val="004E213A"/>
    <w:rsid w:val="004F1F5C"/>
    <w:rsid w:val="00503171"/>
    <w:rsid w:val="00506C28"/>
    <w:rsid w:val="00527C96"/>
    <w:rsid w:val="005349E5"/>
    <w:rsid w:val="00534DA0"/>
    <w:rsid w:val="00543E6C"/>
    <w:rsid w:val="00550442"/>
    <w:rsid w:val="00565087"/>
    <w:rsid w:val="0056573F"/>
    <w:rsid w:val="00575BD7"/>
    <w:rsid w:val="00593444"/>
    <w:rsid w:val="005C4574"/>
    <w:rsid w:val="00610C9A"/>
    <w:rsid w:val="00611566"/>
    <w:rsid w:val="00646D99"/>
    <w:rsid w:val="00656910"/>
    <w:rsid w:val="00657F1A"/>
    <w:rsid w:val="006719D9"/>
    <w:rsid w:val="0068231C"/>
    <w:rsid w:val="006862B5"/>
    <w:rsid w:val="006C3C97"/>
    <w:rsid w:val="006C66D8"/>
    <w:rsid w:val="006D1E24"/>
    <w:rsid w:val="006E1417"/>
    <w:rsid w:val="006F6A2C"/>
    <w:rsid w:val="00710201"/>
    <w:rsid w:val="007152B8"/>
    <w:rsid w:val="007342B5"/>
    <w:rsid w:val="00734A5B"/>
    <w:rsid w:val="007368FE"/>
    <w:rsid w:val="00744E76"/>
    <w:rsid w:val="00754005"/>
    <w:rsid w:val="00757D40"/>
    <w:rsid w:val="0077093B"/>
    <w:rsid w:val="007713B7"/>
    <w:rsid w:val="00771FA3"/>
    <w:rsid w:val="00781F0F"/>
    <w:rsid w:val="0078727C"/>
    <w:rsid w:val="0079049D"/>
    <w:rsid w:val="00793DC5"/>
    <w:rsid w:val="007B18D8"/>
    <w:rsid w:val="007C095F"/>
    <w:rsid w:val="007C2DD0"/>
    <w:rsid w:val="007E0C3B"/>
    <w:rsid w:val="00801CA3"/>
    <w:rsid w:val="008028A4"/>
    <w:rsid w:val="00813245"/>
    <w:rsid w:val="008217D1"/>
    <w:rsid w:val="00837B6D"/>
    <w:rsid w:val="008768CA"/>
    <w:rsid w:val="00877EF9"/>
    <w:rsid w:val="00880559"/>
    <w:rsid w:val="008A6989"/>
    <w:rsid w:val="008B5306"/>
    <w:rsid w:val="008D2E4D"/>
    <w:rsid w:val="008F0869"/>
    <w:rsid w:val="008F396F"/>
    <w:rsid w:val="0090271F"/>
    <w:rsid w:val="00902DB9"/>
    <w:rsid w:val="0090466A"/>
    <w:rsid w:val="00936071"/>
    <w:rsid w:val="00940212"/>
    <w:rsid w:val="009409DB"/>
    <w:rsid w:val="00942EC2"/>
    <w:rsid w:val="009509BF"/>
    <w:rsid w:val="00961B32"/>
    <w:rsid w:val="00970DB3"/>
    <w:rsid w:val="00974BB0"/>
    <w:rsid w:val="009A0AF3"/>
    <w:rsid w:val="009B07CD"/>
    <w:rsid w:val="009B7DC1"/>
    <w:rsid w:val="009C003E"/>
    <w:rsid w:val="009C19E9"/>
    <w:rsid w:val="009D74A6"/>
    <w:rsid w:val="009E0BD0"/>
    <w:rsid w:val="009E0CAA"/>
    <w:rsid w:val="009F3F78"/>
    <w:rsid w:val="00A10F02"/>
    <w:rsid w:val="00A12210"/>
    <w:rsid w:val="00A13A7B"/>
    <w:rsid w:val="00A204CA"/>
    <w:rsid w:val="00A53724"/>
    <w:rsid w:val="00A62A1B"/>
    <w:rsid w:val="00A82346"/>
    <w:rsid w:val="00A9671C"/>
    <w:rsid w:val="00AA1553"/>
    <w:rsid w:val="00AD5223"/>
    <w:rsid w:val="00AE73EF"/>
    <w:rsid w:val="00B0553D"/>
    <w:rsid w:val="00B05962"/>
    <w:rsid w:val="00B15449"/>
    <w:rsid w:val="00B27303"/>
    <w:rsid w:val="00B373E1"/>
    <w:rsid w:val="00B469BB"/>
    <w:rsid w:val="00B470DD"/>
    <w:rsid w:val="00B47FD1"/>
    <w:rsid w:val="00B516BB"/>
    <w:rsid w:val="00B776A4"/>
    <w:rsid w:val="00BB17B6"/>
    <w:rsid w:val="00BC3555"/>
    <w:rsid w:val="00C12B51"/>
    <w:rsid w:val="00C24650"/>
    <w:rsid w:val="00C25465"/>
    <w:rsid w:val="00C33079"/>
    <w:rsid w:val="00C60E5C"/>
    <w:rsid w:val="00C83A13"/>
    <w:rsid w:val="00C9068C"/>
    <w:rsid w:val="00C92967"/>
    <w:rsid w:val="00CA3D0C"/>
    <w:rsid w:val="00CA654B"/>
    <w:rsid w:val="00CA7342"/>
    <w:rsid w:val="00CB72B8"/>
    <w:rsid w:val="00CC1F49"/>
    <w:rsid w:val="00CD4C7B"/>
    <w:rsid w:val="00CF38AA"/>
    <w:rsid w:val="00CF6237"/>
    <w:rsid w:val="00D33BE3"/>
    <w:rsid w:val="00D3792D"/>
    <w:rsid w:val="00D46A9C"/>
    <w:rsid w:val="00D55E47"/>
    <w:rsid w:val="00D60233"/>
    <w:rsid w:val="00D62E19"/>
    <w:rsid w:val="00D67CD1"/>
    <w:rsid w:val="00D738D6"/>
    <w:rsid w:val="00D80795"/>
    <w:rsid w:val="00D854BE"/>
    <w:rsid w:val="00D87E00"/>
    <w:rsid w:val="00D9134D"/>
    <w:rsid w:val="00D96D11"/>
    <w:rsid w:val="00DA7A03"/>
    <w:rsid w:val="00DB0DB8"/>
    <w:rsid w:val="00DB1818"/>
    <w:rsid w:val="00DC14C2"/>
    <w:rsid w:val="00DC309B"/>
    <w:rsid w:val="00DC3C66"/>
    <w:rsid w:val="00DC4DA2"/>
    <w:rsid w:val="00DD3110"/>
    <w:rsid w:val="00E07189"/>
    <w:rsid w:val="00E25C82"/>
    <w:rsid w:val="00E471CF"/>
    <w:rsid w:val="00E62835"/>
    <w:rsid w:val="00E77645"/>
    <w:rsid w:val="00E83697"/>
    <w:rsid w:val="00EA08BF"/>
    <w:rsid w:val="00EC4A25"/>
    <w:rsid w:val="00ED7EB2"/>
    <w:rsid w:val="00EF16B3"/>
    <w:rsid w:val="00F025A2"/>
    <w:rsid w:val="00F058BE"/>
    <w:rsid w:val="00F07388"/>
    <w:rsid w:val="00F07601"/>
    <w:rsid w:val="00F2026E"/>
    <w:rsid w:val="00F2210A"/>
    <w:rsid w:val="00F37743"/>
    <w:rsid w:val="00F50EAA"/>
    <w:rsid w:val="00F54A3D"/>
    <w:rsid w:val="00F54CB0"/>
    <w:rsid w:val="00F57115"/>
    <w:rsid w:val="00F60D74"/>
    <w:rsid w:val="00F653B8"/>
    <w:rsid w:val="00F71B89"/>
    <w:rsid w:val="00F7353C"/>
    <w:rsid w:val="00F73FC0"/>
    <w:rsid w:val="00F752CE"/>
    <w:rsid w:val="00F76F8F"/>
    <w:rsid w:val="00F77ED2"/>
    <w:rsid w:val="00F81CB0"/>
    <w:rsid w:val="00F941DF"/>
    <w:rsid w:val="00F9718A"/>
    <w:rsid w:val="00FA1266"/>
    <w:rsid w:val="00FB36FA"/>
    <w:rsid w:val="00FC1192"/>
    <w:rsid w:val="00FE16E2"/>
    <w:rsid w:val="00FE23DE"/>
    <w:rsid w:val="00FE251B"/>
    <w:rsid w:val="00FE4C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10C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rsid w:val="009E0CAA"/>
    <w:rPr>
      <w:rFonts w:ascii="Arial" w:hAnsi="Arial"/>
      <w:sz w:val="36"/>
      <w:lang w:eastAsia="en-US"/>
    </w:rPr>
  </w:style>
  <w:style w:type="paragraph" w:styleId="ListParagraph">
    <w:name w:val="List Paragraph"/>
    <w:basedOn w:val="Normal"/>
    <w:uiPriority w:val="34"/>
    <w:qFormat/>
    <w:rsid w:val="00BB17B6"/>
    <w:pPr>
      <w:ind w:left="720"/>
      <w:contextualSpacing/>
    </w:pPr>
  </w:style>
  <w:style w:type="character" w:customStyle="1" w:styleId="Heading4Char">
    <w:name w:val="Heading 4 Char"/>
    <w:basedOn w:val="DefaultParagraphFont"/>
    <w:link w:val="Heading4"/>
    <w:rsid w:val="00527C96"/>
    <w:rPr>
      <w:rFonts w:ascii="Arial" w:hAnsi="Arial"/>
      <w:sz w:val="24"/>
      <w:lang w:eastAsia="en-US"/>
    </w:rPr>
  </w:style>
  <w:style w:type="character" w:customStyle="1" w:styleId="TAHChar">
    <w:name w:val="TAH Char"/>
    <w:link w:val="TAH"/>
    <w:locked/>
    <w:rsid w:val="00527C96"/>
    <w:rPr>
      <w:rFonts w:ascii="Arial" w:hAnsi="Arial"/>
      <w:b/>
      <w:sz w:val="18"/>
      <w:lang w:eastAsia="en-US"/>
    </w:rPr>
  </w:style>
  <w:style w:type="character" w:customStyle="1" w:styleId="TALChar">
    <w:name w:val="TAL Char"/>
    <w:link w:val="TAL"/>
    <w:locked/>
    <w:rsid w:val="00527C96"/>
    <w:rPr>
      <w:rFonts w:ascii="Arial" w:hAnsi="Arial"/>
      <w:sz w:val="18"/>
      <w:lang w:eastAsia="en-US"/>
    </w:rPr>
  </w:style>
  <w:style w:type="character" w:customStyle="1" w:styleId="PLChar">
    <w:name w:val="PL Char"/>
    <w:link w:val="PL"/>
    <w:qFormat/>
    <w:locked/>
    <w:rsid w:val="00527C96"/>
    <w:rPr>
      <w:rFonts w:ascii="Courier New" w:hAnsi="Courier New"/>
      <w:noProof/>
      <w:sz w:val="16"/>
      <w:lang w:eastAsia="en-US"/>
    </w:rPr>
  </w:style>
  <w:style w:type="character" w:customStyle="1" w:styleId="B1Char">
    <w:name w:val="B1 Char"/>
    <w:link w:val="B1"/>
    <w:locked/>
    <w:rsid w:val="00090E9F"/>
    <w:rPr>
      <w:lang w:eastAsia="en-US"/>
    </w:rPr>
  </w:style>
  <w:style w:type="character" w:customStyle="1" w:styleId="B2Car">
    <w:name w:val="B2 Car"/>
    <w:link w:val="B2"/>
    <w:locked/>
    <w:rsid w:val="00090E9F"/>
    <w:rPr>
      <w:lang w:eastAsia="en-US"/>
    </w:rPr>
  </w:style>
  <w:style w:type="character" w:customStyle="1" w:styleId="THChar">
    <w:name w:val="TH Char"/>
    <w:link w:val="TH"/>
    <w:qFormat/>
    <w:locked/>
    <w:rsid w:val="000D6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468">
      <w:bodyDiv w:val="1"/>
      <w:marLeft w:val="0"/>
      <w:marRight w:val="0"/>
      <w:marTop w:val="0"/>
      <w:marBottom w:val="0"/>
      <w:divBdr>
        <w:top w:val="none" w:sz="0" w:space="0" w:color="auto"/>
        <w:left w:val="none" w:sz="0" w:space="0" w:color="auto"/>
        <w:bottom w:val="none" w:sz="0" w:space="0" w:color="auto"/>
        <w:right w:val="none" w:sz="0" w:space="0" w:color="auto"/>
      </w:divBdr>
    </w:div>
    <w:div w:id="122358138">
      <w:bodyDiv w:val="1"/>
      <w:marLeft w:val="0"/>
      <w:marRight w:val="0"/>
      <w:marTop w:val="0"/>
      <w:marBottom w:val="0"/>
      <w:divBdr>
        <w:top w:val="none" w:sz="0" w:space="0" w:color="auto"/>
        <w:left w:val="none" w:sz="0" w:space="0" w:color="auto"/>
        <w:bottom w:val="none" w:sz="0" w:space="0" w:color="auto"/>
        <w:right w:val="none" w:sz="0" w:space="0" w:color="auto"/>
      </w:divBdr>
    </w:div>
    <w:div w:id="5904318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4055891">
      <w:bodyDiv w:val="1"/>
      <w:marLeft w:val="0"/>
      <w:marRight w:val="0"/>
      <w:marTop w:val="0"/>
      <w:marBottom w:val="0"/>
      <w:divBdr>
        <w:top w:val="none" w:sz="0" w:space="0" w:color="auto"/>
        <w:left w:val="none" w:sz="0" w:space="0" w:color="auto"/>
        <w:bottom w:val="none" w:sz="0" w:space="0" w:color="auto"/>
        <w:right w:val="none" w:sz="0" w:space="0" w:color="auto"/>
      </w:divBdr>
    </w:div>
    <w:div w:id="15918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538</TotalTime>
  <Pages>3</Pages>
  <Words>856</Words>
  <Characters>5141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(TP for BL CR for TS 38.423): Integrity-check failure of uplink PDUs received from the MN</vt:lpstr>
    </vt:vector>
  </TitlesOfParts>
  <Company>Nokia</Company>
  <LinksUpToDate>false</LinksUpToDate>
  <CharactersWithSpaces>5986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about S-RLF type</dc:title>
  <dc:subject>3GPP RAN3 #103</dc:subject>
  <cp:lastModifiedBy>Nokia</cp:lastModifiedBy>
  <cp:revision>64</cp:revision>
  <dcterms:created xsi:type="dcterms:W3CDTF">2018-10-22T12:04:00Z</dcterms:created>
  <dcterms:modified xsi:type="dcterms:W3CDTF">2019-02-15T12:54:00Z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